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44" w:rsidRDefault="00F43C88" w:rsidP="00397B44">
      <w:pPr>
        <w:ind w:left="1985" w:hangingChars="827" w:hanging="1985"/>
      </w:pPr>
      <w:bookmarkStart w:id="0" w:name="_GoBack"/>
      <w:bookmarkEnd w:id="0"/>
      <w:r>
        <w:rPr>
          <w:rFonts w:hint="eastAsia"/>
        </w:rPr>
        <w:t>一、產業創新條例</w:t>
      </w:r>
    </w:p>
    <w:p w:rsidR="00F43C88" w:rsidRDefault="00F43C88" w:rsidP="00F43C88">
      <w:pPr>
        <w:ind w:left="1985" w:hangingChars="827" w:hanging="1985"/>
      </w:pPr>
      <w:r>
        <w:rPr>
          <w:rFonts w:hint="eastAsia"/>
        </w:rPr>
        <w:t>1</w:t>
      </w:r>
      <w:r>
        <w:rPr>
          <w:rFonts w:hint="eastAsia"/>
        </w:rPr>
        <w:t>、第</w:t>
      </w:r>
      <w:r>
        <w:rPr>
          <w:rFonts w:hint="eastAsia"/>
        </w:rPr>
        <w:t>9</w:t>
      </w:r>
      <w:r>
        <w:rPr>
          <w:rFonts w:hint="eastAsia"/>
        </w:rPr>
        <w:t>條：「各中央目的事業主管機關得以補助或輔導方式，推動下列事項：</w:t>
      </w:r>
    </w:p>
    <w:p w:rsidR="00F43C88" w:rsidRDefault="00F43C88" w:rsidP="00F43C88">
      <w:pPr>
        <w:ind w:leftChars="550" w:left="1985" w:hangingChars="277" w:hanging="665"/>
      </w:pPr>
      <w:r>
        <w:rPr>
          <w:rFonts w:hint="eastAsia"/>
        </w:rPr>
        <w:t>一、促進產業創新或研究發展。</w:t>
      </w:r>
    </w:p>
    <w:p w:rsidR="00F43C88" w:rsidRDefault="00F43C88" w:rsidP="00F43C88">
      <w:pPr>
        <w:ind w:leftChars="550" w:left="1985" w:hangingChars="277" w:hanging="665"/>
      </w:pPr>
      <w:r>
        <w:rPr>
          <w:rFonts w:hint="eastAsia"/>
        </w:rPr>
        <w:t>二、提供產業技術及升級輔導。</w:t>
      </w:r>
    </w:p>
    <w:p w:rsidR="00F43C88" w:rsidRDefault="00F43C88" w:rsidP="00F43C88">
      <w:pPr>
        <w:ind w:leftChars="550" w:left="1985" w:hangingChars="277" w:hanging="665"/>
      </w:pPr>
      <w:r>
        <w:rPr>
          <w:rFonts w:hint="eastAsia"/>
        </w:rPr>
        <w:t>三、鼓勵企業設置創新或研究發展中心。</w:t>
      </w:r>
    </w:p>
    <w:p w:rsidR="00F43C88" w:rsidRDefault="00F43C88" w:rsidP="00F43C88">
      <w:pPr>
        <w:ind w:leftChars="550" w:left="1985" w:hangingChars="277" w:hanging="665"/>
      </w:pPr>
      <w:r>
        <w:rPr>
          <w:rFonts w:hint="eastAsia"/>
        </w:rPr>
        <w:t>四、協助設立創新或研究發展機構。</w:t>
      </w:r>
    </w:p>
    <w:p w:rsidR="00F43C88" w:rsidRDefault="00F43C88" w:rsidP="00F43C88">
      <w:pPr>
        <w:ind w:leftChars="550" w:left="1985" w:hangingChars="277" w:hanging="665"/>
      </w:pPr>
      <w:r>
        <w:rPr>
          <w:rFonts w:hint="eastAsia"/>
        </w:rPr>
        <w:t>五、促進產業、學術及研究機構之合作。</w:t>
      </w:r>
    </w:p>
    <w:p w:rsidR="00F43C88" w:rsidRDefault="00F43C88" w:rsidP="00F43C88">
      <w:pPr>
        <w:ind w:leftChars="550" w:left="1985" w:hangingChars="277" w:hanging="665"/>
      </w:pPr>
      <w:r>
        <w:rPr>
          <w:rFonts w:hint="eastAsia"/>
        </w:rPr>
        <w:t>六、鼓勵企業對學校人才培育之投入。</w:t>
      </w:r>
    </w:p>
    <w:p w:rsidR="00F43C88" w:rsidRDefault="00F43C88" w:rsidP="00F43C88">
      <w:pPr>
        <w:ind w:leftChars="550" w:left="1985" w:hangingChars="277" w:hanging="665"/>
      </w:pPr>
      <w:r>
        <w:rPr>
          <w:rFonts w:hint="eastAsia"/>
        </w:rPr>
        <w:t>七、充裕產業人才資源。</w:t>
      </w:r>
    </w:p>
    <w:p w:rsidR="00F43C88" w:rsidRDefault="00F43C88" w:rsidP="00F43C88">
      <w:pPr>
        <w:ind w:leftChars="550" w:left="1985" w:hangingChars="277" w:hanging="665"/>
      </w:pPr>
      <w:r>
        <w:rPr>
          <w:rFonts w:hint="eastAsia"/>
        </w:rPr>
        <w:t>八、協助地方產業創新。</w:t>
      </w:r>
    </w:p>
    <w:p w:rsidR="00F43C88" w:rsidRDefault="00F43C88" w:rsidP="00F43C88">
      <w:pPr>
        <w:ind w:leftChars="550" w:left="1985" w:hangingChars="277" w:hanging="665"/>
      </w:pPr>
      <w:r>
        <w:rPr>
          <w:rFonts w:hint="eastAsia"/>
        </w:rPr>
        <w:t>九、其他促進產業創新或研究發展之事項。</w:t>
      </w:r>
    </w:p>
    <w:p w:rsidR="00F43C88" w:rsidRDefault="00F43C88" w:rsidP="00F43C88">
      <w:pPr>
        <w:ind w:leftChars="542" w:left="1301" w:firstLineChars="7" w:firstLine="17"/>
      </w:pPr>
      <w:r>
        <w:rPr>
          <w:rFonts w:hint="eastAsia"/>
        </w:rPr>
        <w:t>前項補助或輔導之對象、資格條件、審核基準、申請程序、核定機關及其他相關事項之辦法，由各中央目的事業主管機關定之。」</w:t>
      </w:r>
    </w:p>
    <w:p w:rsidR="00B62D7E" w:rsidRDefault="00B62D7E" w:rsidP="00F43C88">
      <w:pPr>
        <w:ind w:leftChars="542" w:left="1301" w:firstLineChars="7" w:firstLine="17"/>
      </w:pPr>
      <w:proofErr w:type="gramStart"/>
      <w:r>
        <w:rPr>
          <w:rFonts w:hint="eastAsia"/>
        </w:rPr>
        <w:t>（</w:t>
      </w:r>
      <w:proofErr w:type="gramEnd"/>
      <w:r>
        <w:rPr>
          <w:rFonts w:hint="eastAsia"/>
        </w:rPr>
        <w:t>相關子法：</w:t>
      </w:r>
      <w:r w:rsidRPr="00B62D7E">
        <w:rPr>
          <w:rFonts w:hint="eastAsia"/>
        </w:rPr>
        <w:t>經濟部協助產業創新活動補助及輔導辦法</w:t>
      </w:r>
      <w:proofErr w:type="gramStart"/>
      <w:r>
        <w:rPr>
          <w:rFonts w:hint="eastAsia"/>
        </w:rPr>
        <w:t>）</w:t>
      </w:r>
      <w:proofErr w:type="gramEnd"/>
    </w:p>
    <w:p w:rsidR="00892123" w:rsidRDefault="00892123" w:rsidP="00892123">
      <w:pPr>
        <w:ind w:left="1320" w:hangingChars="550" w:hanging="1320"/>
      </w:pPr>
      <w:r>
        <w:rPr>
          <w:rFonts w:hint="eastAsia"/>
        </w:rPr>
        <w:t>2</w:t>
      </w:r>
      <w:r>
        <w:rPr>
          <w:rFonts w:hint="eastAsia"/>
        </w:rPr>
        <w:t>、第</w:t>
      </w:r>
      <w:r>
        <w:rPr>
          <w:rFonts w:hint="eastAsia"/>
        </w:rPr>
        <w:t>10</w:t>
      </w:r>
      <w:r>
        <w:rPr>
          <w:rFonts w:hint="eastAsia"/>
        </w:rPr>
        <w:t>條：「為促進產業創新，最近</w:t>
      </w:r>
      <w:proofErr w:type="gramStart"/>
      <w:r>
        <w:rPr>
          <w:rFonts w:hint="eastAsia"/>
        </w:rPr>
        <w:t>三</w:t>
      </w:r>
      <w:proofErr w:type="gramEnd"/>
      <w:r>
        <w:rPr>
          <w:rFonts w:hint="eastAsia"/>
        </w:rPr>
        <w:t>年內無違反環境保護、勞工或食品安全衛生相關法律且情節重大情事之公司投資於研究發展之支出，得選擇以下列方式之一抵減應納營利事業所得稅額，一經擇定不得變更，並以不超過該公司當年度應納營利事業所得稅額百分之三十為限：</w:t>
      </w:r>
    </w:p>
    <w:p w:rsidR="00892123" w:rsidRDefault="00892123" w:rsidP="00892123">
      <w:pPr>
        <w:ind w:leftChars="550" w:left="1800" w:hangingChars="200" w:hanging="480"/>
      </w:pPr>
      <w:r>
        <w:rPr>
          <w:rFonts w:hint="eastAsia"/>
        </w:rPr>
        <w:t>一、於支出金額百分之十五限度內，抵減當年度應納營利事業所得稅額。</w:t>
      </w:r>
    </w:p>
    <w:p w:rsidR="00892123" w:rsidRDefault="00892123" w:rsidP="00892123">
      <w:pPr>
        <w:ind w:leftChars="550" w:left="1800" w:hangingChars="200" w:hanging="480"/>
      </w:pPr>
      <w:r>
        <w:rPr>
          <w:rFonts w:hint="eastAsia"/>
        </w:rPr>
        <w:t>二、於支出金額百分之十限度內，自當年度起三年內抵減各年度應納營利事業所得稅額。</w:t>
      </w:r>
    </w:p>
    <w:p w:rsidR="00892123" w:rsidRDefault="00892123" w:rsidP="00892123">
      <w:pPr>
        <w:ind w:leftChars="550" w:left="1320"/>
      </w:pPr>
      <w:r>
        <w:rPr>
          <w:rFonts w:hint="eastAsia"/>
        </w:rPr>
        <w:t>前項投資抵減之適用範圍、申請期限、申請程序、核定機關、施行期限、抵減率及其他相關事項之辦法，由中央主管機關會同財政部定之。」</w:t>
      </w:r>
    </w:p>
    <w:p w:rsidR="00B62D7E" w:rsidRDefault="00B62D7E" w:rsidP="00892123">
      <w:pPr>
        <w:ind w:leftChars="550" w:left="1320"/>
      </w:pPr>
      <w:r>
        <w:rPr>
          <w:rFonts w:hint="eastAsia"/>
        </w:rPr>
        <w:t>(</w:t>
      </w:r>
      <w:r>
        <w:rPr>
          <w:rFonts w:hint="eastAsia"/>
        </w:rPr>
        <w:t>相關子法：</w:t>
      </w:r>
      <w:r w:rsidRPr="00B62D7E">
        <w:rPr>
          <w:rFonts w:hint="eastAsia"/>
        </w:rPr>
        <w:t>公司研究發展支出適用投資抵減辦法</w:t>
      </w:r>
      <w:r>
        <w:rPr>
          <w:rFonts w:hint="eastAsia"/>
        </w:rPr>
        <w:t>)</w:t>
      </w:r>
    </w:p>
    <w:p w:rsidR="002B02A8" w:rsidRDefault="002B02A8" w:rsidP="00857B4A">
      <w:pPr>
        <w:ind w:left="1320" w:hangingChars="550" w:hanging="1320"/>
      </w:pPr>
      <w:r>
        <w:rPr>
          <w:rFonts w:hint="eastAsia"/>
        </w:rPr>
        <w:t>3</w:t>
      </w:r>
      <w:r>
        <w:rPr>
          <w:rFonts w:hint="eastAsia"/>
        </w:rPr>
        <w:t>、第</w:t>
      </w:r>
      <w:r>
        <w:rPr>
          <w:rFonts w:hint="eastAsia"/>
        </w:rPr>
        <w:t>12-1</w:t>
      </w:r>
      <w:r>
        <w:rPr>
          <w:rFonts w:hint="eastAsia"/>
        </w:rPr>
        <w:t>條：「為促進創新研發成果之流通及應用，我國個人或公司</w:t>
      </w:r>
      <w:proofErr w:type="gramStart"/>
      <w:r>
        <w:rPr>
          <w:rFonts w:hint="eastAsia"/>
        </w:rPr>
        <w:t>在其讓與</w:t>
      </w:r>
      <w:proofErr w:type="gramEnd"/>
      <w:r>
        <w:rPr>
          <w:rFonts w:hint="eastAsia"/>
        </w:rPr>
        <w:t>或授權自行研發所有之智慧財產權取得之收益範圍內，得就當年度研究發展支出金額百分之兩百限度內自當年度應課稅所得額中減除。但公司得就本項及第十條研究發展支出投資抵減擇</w:t>
      </w:r>
      <w:proofErr w:type="gramStart"/>
      <w:r>
        <w:rPr>
          <w:rFonts w:hint="eastAsia"/>
        </w:rPr>
        <w:t>一</w:t>
      </w:r>
      <w:proofErr w:type="gramEnd"/>
      <w:r>
        <w:rPr>
          <w:rFonts w:hint="eastAsia"/>
        </w:rPr>
        <w:t>適用。</w:t>
      </w:r>
    </w:p>
    <w:p w:rsidR="002B02A8" w:rsidRDefault="002B02A8" w:rsidP="00857B4A">
      <w:pPr>
        <w:ind w:leftChars="550" w:left="1320"/>
      </w:pPr>
      <w:r>
        <w:rPr>
          <w:rFonts w:hint="eastAsia"/>
        </w:rPr>
        <w:t>我國個人或公司以其自行研發所有之智慧財產權，讓與或授權上市、上櫃</w:t>
      </w:r>
      <w:proofErr w:type="gramStart"/>
      <w:r>
        <w:rPr>
          <w:rFonts w:hint="eastAsia"/>
        </w:rPr>
        <w:t>或興櫃</w:t>
      </w:r>
      <w:proofErr w:type="gramEnd"/>
      <w:r>
        <w:rPr>
          <w:rFonts w:hint="eastAsia"/>
        </w:rPr>
        <w:t>公司自行使用，作價抵繳其認股</w:t>
      </w:r>
      <w:proofErr w:type="gramStart"/>
      <w:r>
        <w:rPr>
          <w:rFonts w:hint="eastAsia"/>
        </w:rPr>
        <w:t>股</w:t>
      </w:r>
      <w:proofErr w:type="gramEnd"/>
      <w:r>
        <w:rPr>
          <w:rFonts w:hint="eastAsia"/>
        </w:rPr>
        <w:t>款，該個人或公司作價抵繳</w:t>
      </w:r>
      <w:proofErr w:type="gramStart"/>
      <w:r>
        <w:rPr>
          <w:rFonts w:hint="eastAsia"/>
        </w:rPr>
        <w:t>股款當年度</w:t>
      </w:r>
      <w:proofErr w:type="gramEnd"/>
      <w:r>
        <w:rPr>
          <w:rFonts w:hint="eastAsia"/>
        </w:rPr>
        <w:t>依法規定計算之所得，得選擇全數延緩至認股年度次年起之</w:t>
      </w:r>
      <w:proofErr w:type="gramStart"/>
      <w:r>
        <w:rPr>
          <w:rFonts w:hint="eastAsia"/>
        </w:rPr>
        <w:t>第五年課徵</w:t>
      </w:r>
      <w:proofErr w:type="gramEnd"/>
      <w:r>
        <w:rPr>
          <w:rFonts w:hint="eastAsia"/>
        </w:rPr>
        <w:t>所得稅，擇定後不得變更。但於延緩繳稅期間內轉讓其所認股份或帳簿劃撥至開設之有價證券保管劃撥帳戶者，應於轉讓或辦理帳簿劃撥之年度課徵所得稅。</w:t>
      </w:r>
    </w:p>
    <w:p w:rsidR="002B02A8" w:rsidRDefault="002B02A8" w:rsidP="00857B4A">
      <w:pPr>
        <w:ind w:leftChars="550" w:left="1320"/>
      </w:pPr>
      <w:r>
        <w:rPr>
          <w:rFonts w:hint="eastAsia"/>
        </w:rPr>
        <w:t>前項個人或公司讓與或授權非屬上市、上櫃</w:t>
      </w:r>
      <w:proofErr w:type="gramStart"/>
      <w:r>
        <w:rPr>
          <w:rFonts w:hint="eastAsia"/>
        </w:rPr>
        <w:t>或興櫃</w:t>
      </w:r>
      <w:proofErr w:type="gramEnd"/>
      <w:r>
        <w:rPr>
          <w:rFonts w:hint="eastAsia"/>
        </w:rPr>
        <w:t>公司自行使用，所取得之新發行股票，免</w:t>
      </w:r>
      <w:proofErr w:type="gramStart"/>
      <w:r>
        <w:rPr>
          <w:rFonts w:hint="eastAsia"/>
        </w:rPr>
        <w:t>予計</w:t>
      </w:r>
      <w:proofErr w:type="gramEnd"/>
      <w:r>
        <w:rPr>
          <w:rFonts w:hint="eastAsia"/>
        </w:rPr>
        <w:t>入當年度應課稅所得額課稅。但於實</w:t>
      </w:r>
      <w:r>
        <w:rPr>
          <w:rFonts w:hint="eastAsia"/>
        </w:rPr>
        <w:lastRenderedPageBreak/>
        <w:t>際轉讓時，應將全部轉讓價格作為該轉讓年度之收益，並於扣除取得前開股票之相關而尚未認列之費用或成本後，申報課徵所得稅。</w:t>
      </w:r>
    </w:p>
    <w:p w:rsidR="00B62D7E" w:rsidRDefault="002B02A8" w:rsidP="00B62D7E">
      <w:pPr>
        <w:ind w:leftChars="550" w:left="1320"/>
      </w:pPr>
      <w:r>
        <w:rPr>
          <w:rFonts w:hint="eastAsia"/>
        </w:rPr>
        <w:t>第二項及第</w:t>
      </w:r>
      <w:proofErr w:type="gramStart"/>
      <w:r>
        <w:rPr>
          <w:rFonts w:hint="eastAsia"/>
        </w:rPr>
        <w:t>三</w:t>
      </w:r>
      <w:proofErr w:type="gramEnd"/>
      <w:r>
        <w:rPr>
          <w:rFonts w:hint="eastAsia"/>
        </w:rPr>
        <w:t>項所稱轉讓，指買賣、贈與、作為遺產分配、公司減</w:t>
      </w:r>
      <w:proofErr w:type="gramStart"/>
      <w:r>
        <w:rPr>
          <w:rFonts w:hint="eastAsia"/>
        </w:rPr>
        <w:t>資銷除</w:t>
      </w:r>
      <w:proofErr w:type="gramEnd"/>
      <w:r>
        <w:rPr>
          <w:rFonts w:hint="eastAsia"/>
        </w:rPr>
        <w:t>股份、公司清算或因其他原因致股份所有權變更者。個人依第一項或第二項或第三項規定計算之所得，未申報或未能提出證明文件者，其成本及必要費用按其收益或作價抵繳認股</w:t>
      </w:r>
      <w:proofErr w:type="gramStart"/>
      <w:r>
        <w:rPr>
          <w:rFonts w:hint="eastAsia"/>
        </w:rPr>
        <w:t>股</w:t>
      </w:r>
      <w:proofErr w:type="gramEnd"/>
      <w:r>
        <w:rPr>
          <w:rFonts w:hint="eastAsia"/>
        </w:rPr>
        <w:t>款金額或轉讓價格之百分之三十計算減除之。股票發行公司於辦理作價入股當年度應依規定格式及文件資料送請各中央目的事業主管機關認定，始得適用第二項或第三項之獎勵；其認定結果，並副知公司所在地之稅捐</w:t>
      </w:r>
      <w:proofErr w:type="gramStart"/>
      <w:r>
        <w:rPr>
          <w:rFonts w:hint="eastAsia"/>
        </w:rPr>
        <w:t>稽</w:t>
      </w:r>
      <w:proofErr w:type="gramEnd"/>
      <w:r>
        <w:rPr>
          <w:rFonts w:hint="eastAsia"/>
        </w:rPr>
        <w:t>徵機關。</w:t>
      </w:r>
    </w:p>
    <w:p w:rsidR="002B02A8" w:rsidRDefault="002B02A8" w:rsidP="00B62D7E">
      <w:pPr>
        <w:ind w:leftChars="550" w:left="1320"/>
      </w:pPr>
      <w:r>
        <w:rPr>
          <w:rFonts w:hint="eastAsia"/>
        </w:rPr>
        <w:t>第一項研究發展支出自應課稅所得額中減除之適用範圍、申請期限、申請程序、核定機關及其他相關事項之辦法，由中央主管機關會同財政部定之第一項、第二項及第</w:t>
      </w:r>
      <w:proofErr w:type="gramStart"/>
      <w:r>
        <w:rPr>
          <w:rFonts w:hint="eastAsia"/>
        </w:rPr>
        <w:t>三</w:t>
      </w:r>
      <w:proofErr w:type="gramEnd"/>
      <w:r>
        <w:rPr>
          <w:rFonts w:hint="eastAsia"/>
        </w:rPr>
        <w:t>項所定自行研發所有之智慧財產權範圍、第六項之規定格式、申請程序及所需文件資料，由中央主管機關定之。</w:t>
      </w:r>
    </w:p>
    <w:p w:rsidR="002B02A8" w:rsidRDefault="002B02A8" w:rsidP="00B62D7E">
      <w:pPr>
        <w:ind w:leftChars="550" w:left="1320"/>
      </w:pPr>
      <w:r>
        <w:rPr>
          <w:rFonts w:hint="eastAsia"/>
        </w:rPr>
        <w:t>第二項及第三項自行研發所有之智慧財產權作價入股延緩繳稅及緩課於所得稅申報之程序、應提示文件資料及其他相關事項之辦法，由財政部定之。」</w:t>
      </w:r>
    </w:p>
    <w:p w:rsidR="00676340" w:rsidRDefault="00676340">
      <w:pPr>
        <w:widowControl/>
      </w:pPr>
    </w:p>
    <w:sectPr w:rsidR="006763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C0" w:rsidRDefault="009F79C0" w:rsidP="00857B4A">
      <w:r>
        <w:separator/>
      </w:r>
    </w:p>
  </w:endnote>
  <w:endnote w:type="continuationSeparator" w:id="0">
    <w:p w:rsidR="009F79C0" w:rsidRDefault="009F79C0" w:rsidP="0085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C0" w:rsidRDefault="009F79C0" w:rsidP="00857B4A">
      <w:r>
        <w:separator/>
      </w:r>
    </w:p>
  </w:footnote>
  <w:footnote w:type="continuationSeparator" w:id="0">
    <w:p w:rsidR="009F79C0" w:rsidRDefault="009F79C0" w:rsidP="0085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D"/>
    <w:rsid w:val="00015A9C"/>
    <w:rsid w:val="002734F1"/>
    <w:rsid w:val="002B02A8"/>
    <w:rsid w:val="00397B44"/>
    <w:rsid w:val="004B7020"/>
    <w:rsid w:val="00531D05"/>
    <w:rsid w:val="0064192D"/>
    <w:rsid w:val="00676340"/>
    <w:rsid w:val="00751CD2"/>
    <w:rsid w:val="00857B4A"/>
    <w:rsid w:val="0086271B"/>
    <w:rsid w:val="00892123"/>
    <w:rsid w:val="009F79C0"/>
    <w:rsid w:val="00AC7B91"/>
    <w:rsid w:val="00B15E8A"/>
    <w:rsid w:val="00B27FB5"/>
    <w:rsid w:val="00B62D7E"/>
    <w:rsid w:val="00BB7029"/>
    <w:rsid w:val="00CB011C"/>
    <w:rsid w:val="00CC3765"/>
    <w:rsid w:val="00DE7F36"/>
    <w:rsid w:val="00E148BB"/>
    <w:rsid w:val="00F43C88"/>
    <w:rsid w:val="00FA1BB0"/>
    <w:rsid w:val="00FA7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C88"/>
    <w:pPr>
      <w:ind w:leftChars="200" w:left="480"/>
    </w:pPr>
  </w:style>
  <w:style w:type="paragraph" w:styleId="a4">
    <w:name w:val="header"/>
    <w:basedOn w:val="a"/>
    <w:link w:val="a5"/>
    <w:uiPriority w:val="99"/>
    <w:unhideWhenUsed/>
    <w:rsid w:val="00857B4A"/>
    <w:pPr>
      <w:tabs>
        <w:tab w:val="center" w:pos="4153"/>
        <w:tab w:val="right" w:pos="8306"/>
      </w:tabs>
      <w:snapToGrid w:val="0"/>
    </w:pPr>
    <w:rPr>
      <w:sz w:val="20"/>
      <w:szCs w:val="20"/>
    </w:rPr>
  </w:style>
  <w:style w:type="character" w:customStyle="1" w:styleId="a5">
    <w:name w:val="頁首 字元"/>
    <w:basedOn w:val="a0"/>
    <w:link w:val="a4"/>
    <w:uiPriority w:val="99"/>
    <w:rsid w:val="00857B4A"/>
    <w:rPr>
      <w:sz w:val="20"/>
      <w:szCs w:val="20"/>
    </w:rPr>
  </w:style>
  <w:style w:type="paragraph" w:styleId="a6">
    <w:name w:val="footer"/>
    <w:basedOn w:val="a"/>
    <w:link w:val="a7"/>
    <w:uiPriority w:val="99"/>
    <w:unhideWhenUsed/>
    <w:rsid w:val="00857B4A"/>
    <w:pPr>
      <w:tabs>
        <w:tab w:val="center" w:pos="4153"/>
        <w:tab w:val="right" w:pos="8306"/>
      </w:tabs>
      <w:snapToGrid w:val="0"/>
    </w:pPr>
    <w:rPr>
      <w:sz w:val="20"/>
      <w:szCs w:val="20"/>
    </w:rPr>
  </w:style>
  <w:style w:type="character" w:customStyle="1" w:styleId="a7">
    <w:name w:val="頁尾 字元"/>
    <w:basedOn w:val="a0"/>
    <w:link w:val="a6"/>
    <w:uiPriority w:val="99"/>
    <w:rsid w:val="00857B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C88"/>
    <w:pPr>
      <w:ind w:leftChars="200" w:left="480"/>
    </w:pPr>
  </w:style>
  <w:style w:type="paragraph" w:styleId="a4">
    <w:name w:val="header"/>
    <w:basedOn w:val="a"/>
    <w:link w:val="a5"/>
    <w:uiPriority w:val="99"/>
    <w:unhideWhenUsed/>
    <w:rsid w:val="00857B4A"/>
    <w:pPr>
      <w:tabs>
        <w:tab w:val="center" w:pos="4153"/>
        <w:tab w:val="right" w:pos="8306"/>
      </w:tabs>
      <w:snapToGrid w:val="0"/>
    </w:pPr>
    <w:rPr>
      <w:sz w:val="20"/>
      <w:szCs w:val="20"/>
    </w:rPr>
  </w:style>
  <w:style w:type="character" w:customStyle="1" w:styleId="a5">
    <w:name w:val="頁首 字元"/>
    <w:basedOn w:val="a0"/>
    <w:link w:val="a4"/>
    <w:uiPriority w:val="99"/>
    <w:rsid w:val="00857B4A"/>
    <w:rPr>
      <w:sz w:val="20"/>
      <w:szCs w:val="20"/>
    </w:rPr>
  </w:style>
  <w:style w:type="paragraph" w:styleId="a6">
    <w:name w:val="footer"/>
    <w:basedOn w:val="a"/>
    <w:link w:val="a7"/>
    <w:uiPriority w:val="99"/>
    <w:unhideWhenUsed/>
    <w:rsid w:val="00857B4A"/>
    <w:pPr>
      <w:tabs>
        <w:tab w:val="center" w:pos="4153"/>
        <w:tab w:val="right" w:pos="8306"/>
      </w:tabs>
      <w:snapToGrid w:val="0"/>
    </w:pPr>
    <w:rPr>
      <w:sz w:val="20"/>
      <w:szCs w:val="20"/>
    </w:rPr>
  </w:style>
  <w:style w:type="character" w:customStyle="1" w:styleId="a7">
    <w:name w:val="頁尾 字元"/>
    <w:basedOn w:val="a0"/>
    <w:link w:val="a6"/>
    <w:uiPriority w:val="99"/>
    <w:rsid w:val="00857B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Company>IPO</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20579</dc:creator>
  <cp:lastModifiedBy>00598馬維清</cp:lastModifiedBy>
  <cp:revision>2</cp:revision>
  <dcterms:created xsi:type="dcterms:W3CDTF">2017-01-11T10:11:00Z</dcterms:created>
  <dcterms:modified xsi:type="dcterms:W3CDTF">2017-01-11T10:11:00Z</dcterms:modified>
</cp:coreProperties>
</file>